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黑体"/>
          <w:sz w:val="28"/>
          <w:szCs w:val="28"/>
        </w:rPr>
      </w:pPr>
      <w:r>
        <w:rPr>
          <w:rFonts w:hint="eastAsia" w:ascii="Times New Roman" w:hAnsi="Times New Roman" w:eastAsia="黑体"/>
          <w:sz w:val="28"/>
          <w:szCs w:val="28"/>
        </w:rPr>
        <w:t>江西省地方标准《虔油</w:t>
      </w:r>
      <w:r>
        <w:rPr>
          <w:rFonts w:ascii="Times New Roman" w:hAnsi="Times New Roman" w:eastAsia="黑体"/>
          <w:sz w:val="28"/>
          <w:szCs w:val="28"/>
        </w:rPr>
        <w:t>1</w:t>
      </w:r>
      <w:r>
        <w:rPr>
          <w:rFonts w:hint="eastAsia" w:ascii="Times New Roman" w:hAnsi="Times New Roman" w:eastAsia="黑体"/>
          <w:sz w:val="28"/>
          <w:szCs w:val="28"/>
        </w:rPr>
        <w:t>号</w:t>
      </w:r>
      <w:r>
        <w:rPr>
          <w:rFonts w:hint="eastAsia" w:ascii="Times New Roman" w:hAnsi="Times New Roman" w:eastAsia="黑体"/>
          <w:sz w:val="28"/>
          <w:szCs w:val="28"/>
          <w:lang w:val="en-US" w:eastAsia="zh-CN"/>
        </w:rPr>
        <w:t>花生</w:t>
      </w:r>
      <w:r>
        <w:rPr>
          <w:rFonts w:hint="eastAsia" w:ascii="Times New Roman" w:hAnsi="Times New Roman" w:eastAsia="黑体"/>
          <w:sz w:val="28"/>
          <w:szCs w:val="28"/>
        </w:rPr>
        <w:t>栽培技术规程》（征求意见稿）</w:t>
      </w:r>
    </w:p>
    <w:p>
      <w:pPr>
        <w:spacing w:line="360" w:lineRule="auto"/>
        <w:jc w:val="center"/>
        <w:rPr>
          <w:rFonts w:ascii="Times New Roman" w:hAnsi="Times New Roman" w:eastAsia="黑体"/>
          <w:sz w:val="28"/>
          <w:szCs w:val="28"/>
        </w:rPr>
      </w:pPr>
      <w:r>
        <w:rPr>
          <w:rFonts w:hint="eastAsia" w:ascii="Times New Roman" w:hAnsi="Times New Roman" w:eastAsia="黑体"/>
          <w:sz w:val="28"/>
          <w:szCs w:val="28"/>
        </w:rPr>
        <w:t>编制说明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花生是江西省主要的油料作物和经济作物，常年播种面积稳定在</w:t>
      </w:r>
      <w:r>
        <w:rPr>
          <w:rFonts w:ascii="Times New Roman" w:hAnsi="Times New Roman" w:eastAsia="仿宋_GB2312"/>
          <w:sz w:val="24"/>
        </w:rPr>
        <w:t>16.2</w:t>
      </w:r>
      <w:r>
        <w:rPr>
          <w:rFonts w:hint="eastAsia" w:ascii="Times New Roman" w:hAnsi="Times New Roman" w:eastAsia="仿宋_GB2312"/>
          <w:sz w:val="24"/>
        </w:rPr>
        <w:t>万公顷以上，近几年种植面积稳中有升，在全国花生主产省中面积位居第</w:t>
      </w:r>
      <w:r>
        <w:rPr>
          <w:rFonts w:ascii="Times New Roman" w:hAnsi="Times New Roman" w:eastAsia="仿宋_GB2312"/>
          <w:sz w:val="24"/>
        </w:rPr>
        <w:t>7</w:t>
      </w:r>
      <w:r>
        <w:rPr>
          <w:rFonts w:hint="eastAsia" w:ascii="Times New Roman" w:hAnsi="Times New Roman" w:eastAsia="仿宋_GB2312"/>
          <w:sz w:val="24"/>
        </w:rPr>
        <w:t>位，单产有所提高，年平均单产已达</w:t>
      </w:r>
      <w:r>
        <w:rPr>
          <w:rFonts w:ascii="Times New Roman" w:hAnsi="Times New Roman" w:eastAsia="仿宋_GB2312"/>
          <w:sz w:val="24"/>
        </w:rPr>
        <w:t>2879kg/hm</w:t>
      </w:r>
      <w:r>
        <w:rPr>
          <w:rFonts w:ascii="Times New Roman" w:hAnsi="Times New Roman" w:eastAsia="仿宋_GB2312"/>
          <w:sz w:val="24"/>
          <w:vertAlign w:val="superscript"/>
        </w:rPr>
        <w:t>2</w:t>
      </w:r>
      <w:r>
        <w:rPr>
          <w:rFonts w:hint="eastAsia" w:ascii="Times New Roman" w:hAnsi="Times New Roman" w:eastAsia="仿宋_GB2312"/>
          <w:sz w:val="24"/>
        </w:rPr>
        <w:t>，但比全国平均单产低，与高产省相比差距更大，生产的花生远远不能满足自身需要，每年需要从外省调进大量的花生油和花生作为食用油加工原料，其主要制约因素是品种更新速度慢、先进高效的栽培技术研究推广较低、市场花生种子混杂、花生生产用种量大，农户换种成本高。因此，品种的多样性与新品种的更新换代和普及推广是保障花生产业可持续发展的重要基础。目前我省推广的品种基本为外地引进品种，其适应性、配套栽培技术、种子质量等受外来因素影响很大，所以，必须有本省自主品种做支撑，才能有效规避这些风险。</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号是赣州市旱作物科学研究所于</w:t>
      </w:r>
      <w:r>
        <w:rPr>
          <w:rFonts w:ascii="Times New Roman" w:hAnsi="Times New Roman" w:eastAsia="仿宋_GB2312"/>
          <w:sz w:val="24"/>
        </w:rPr>
        <w:t>2002</w:t>
      </w:r>
      <w:r>
        <w:rPr>
          <w:rFonts w:hint="eastAsia" w:ascii="Times New Roman" w:hAnsi="Times New Roman" w:eastAsia="仿宋_GB2312"/>
          <w:sz w:val="24"/>
        </w:rPr>
        <w:t>年春以粤油</w:t>
      </w:r>
      <w:r>
        <w:rPr>
          <w:rFonts w:ascii="Times New Roman" w:hAnsi="Times New Roman" w:eastAsia="仿宋_GB2312"/>
          <w:sz w:val="24"/>
        </w:rPr>
        <w:t>551</w:t>
      </w:r>
      <w:r>
        <w:rPr>
          <w:rFonts w:hint="eastAsia" w:ascii="Times New Roman" w:hAnsi="Times New Roman" w:eastAsia="仿宋_GB2312"/>
          <w:sz w:val="24"/>
        </w:rPr>
        <w:t>为母本、辐</w:t>
      </w:r>
      <w:r>
        <w:rPr>
          <w:rFonts w:ascii="Times New Roman" w:hAnsi="Times New Roman" w:eastAsia="仿宋_GB2312"/>
          <w:sz w:val="24"/>
        </w:rPr>
        <w:t>7-28</w:t>
      </w:r>
      <w:r>
        <w:rPr>
          <w:rFonts w:hint="eastAsia" w:ascii="Times New Roman" w:hAnsi="Times New Roman" w:eastAsia="仿宋_GB2312"/>
          <w:sz w:val="24"/>
        </w:rPr>
        <w:t>为父本组配杂交，于</w:t>
      </w:r>
      <w:r>
        <w:rPr>
          <w:rFonts w:ascii="Times New Roman" w:hAnsi="Times New Roman" w:eastAsia="仿宋_GB2312"/>
          <w:sz w:val="24"/>
        </w:rPr>
        <w:t>2010</w:t>
      </w:r>
      <w:r>
        <w:rPr>
          <w:rFonts w:hint="eastAsia" w:ascii="Times New Roman" w:hAnsi="Times New Roman" w:eastAsia="仿宋_GB2312"/>
          <w:sz w:val="24"/>
        </w:rPr>
        <w:t>年育成的珍珠豆型花生新品种，</w:t>
      </w:r>
      <w:r>
        <w:rPr>
          <w:rFonts w:ascii="Times New Roman" w:hAnsi="Times New Roman" w:eastAsia="仿宋_GB2312"/>
          <w:sz w:val="24"/>
        </w:rPr>
        <w:t>2014</w:t>
      </w:r>
      <w:r>
        <w:rPr>
          <w:rFonts w:hint="eastAsia" w:ascii="Times New Roman" w:hAnsi="Times New Roman" w:eastAsia="仿宋_GB2312"/>
          <w:sz w:val="24"/>
        </w:rPr>
        <w:t>年</w:t>
      </w:r>
      <w:r>
        <w:rPr>
          <w:rFonts w:ascii="Times New Roman" w:hAnsi="Times New Roman" w:eastAsia="仿宋_GB2312"/>
          <w:sz w:val="24"/>
        </w:rPr>
        <w:t>3</w:t>
      </w:r>
      <w:r>
        <w:rPr>
          <w:rFonts w:hint="eastAsia" w:ascii="Times New Roman" w:hAnsi="Times New Roman" w:eastAsia="仿宋_GB2312"/>
          <w:sz w:val="24"/>
        </w:rPr>
        <w:t>月通过江西省农作物品种审定委员会认定，该品种表现高产、稳产、抗病性强，适宜江西省大部分花生产区种植。</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我所于</w:t>
      </w:r>
      <w:r>
        <w:rPr>
          <w:rFonts w:ascii="Times New Roman" w:hAnsi="Times New Roman" w:eastAsia="仿宋_GB2312"/>
          <w:sz w:val="24"/>
        </w:rPr>
        <w:t>2016-2018</w:t>
      </w:r>
      <w:r>
        <w:rPr>
          <w:rFonts w:hint="eastAsia" w:ascii="Times New Roman" w:hAnsi="Times New Roman" w:eastAsia="仿宋_GB2312"/>
          <w:sz w:val="24"/>
        </w:rPr>
        <w:t>年承担的赣州市科技计划项目</w:t>
      </w:r>
      <w:r>
        <w:rPr>
          <w:rFonts w:ascii="Times New Roman" w:hAnsi="Times New Roman" w:eastAsia="仿宋_GB2312"/>
          <w:sz w:val="24"/>
        </w:rPr>
        <w:t>“</w:t>
      </w: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号花生新品种高产高效栽培技术集成与示范</w:t>
      </w:r>
      <w:r>
        <w:rPr>
          <w:rFonts w:ascii="Times New Roman" w:hAnsi="Times New Roman" w:eastAsia="仿宋_GB2312"/>
          <w:sz w:val="24"/>
        </w:rPr>
        <w:t>”</w:t>
      </w:r>
      <w:r>
        <w:rPr>
          <w:rFonts w:hint="eastAsia" w:ascii="Times New Roman" w:hAnsi="Times New Roman" w:eastAsia="仿宋_GB2312"/>
          <w:sz w:val="24"/>
        </w:rPr>
        <w:t>，开展了虔油</w:t>
      </w:r>
      <w:r>
        <w:rPr>
          <w:rFonts w:ascii="Times New Roman" w:hAnsi="Times New Roman" w:eastAsia="仿宋_GB2312"/>
          <w:sz w:val="24"/>
        </w:rPr>
        <w:t>1</w:t>
      </w:r>
      <w:r>
        <w:rPr>
          <w:rFonts w:hint="eastAsia" w:ascii="Times New Roman" w:hAnsi="Times New Roman" w:eastAsia="仿宋_GB2312"/>
          <w:sz w:val="24"/>
        </w:rPr>
        <w:t>号花生新品种合理密植、配方施肥、病虫害防治等栽培技术集成和示范，并进行辐射推广，为生产提供有效的高效、丰产栽培技术支撑。2014-2018年虔油1号在江西花生产区推广265万亩，在广东、湖南等产区推广34万亩，新增产量10691.4万斤，累计新增产值达84450.44万元江西省内累计推广种植虔油</w:t>
      </w:r>
      <w:r>
        <w:rPr>
          <w:rFonts w:ascii="Times New Roman" w:hAnsi="Times New Roman" w:eastAsia="仿宋_GB2312"/>
          <w:sz w:val="24"/>
        </w:rPr>
        <w:t>1</w:t>
      </w:r>
      <w:r>
        <w:rPr>
          <w:rFonts w:hint="eastAsia" w:ascii="Times New Roman" w:hAnsi="Times New Roman" w:eastAsia="仿宋_GB2312"/>
          <w:sz w:val="24"/>
        </w:rPr>
        <w:t>号花生</w:t>
      </w:r>
      <w:r>
        <w:rPr>
          <w:rFonts w:hint="eastAsia" w:ascii="Times New Roman" w:hAnsi="Times New Roman" w:eastAsia="仿宋_GB2312"/>
          <w:sz w:val="24"/>
          <w:lang w:val="en-US" w:eastAsia="zh-CN"/>
        </w:rPr>
        <w:t>299</w:t>
      </w:r>
      <w:r>
        <w:rPr>
          <w:rFonts w:hint="eastAsia" w:ascii="Times New Roman" w:hAnsi="Times New Roman" w:eastAsia="仿宋_GB2312"/>
          <w:sz w:val="24"/>
        </w:rPr>
        <w:t>万亩，虔油</w:t>
      </w:r>
      <w:r>
        <w:rPr>
          <w:rFonts w:ascii="Times New Roman" w:hAnsi="Times New Roman" w:eastAsia="仿宋_GB2312"/>
          <w:sz w:val="24"/>
        </w:rPr>
        <w:t>1</w:t>
      </w:r>
      <w:r>
        <w:rPr>
          <w:rFonts w:hint="eastAsia" w:ascii="Times New Roman" w:hAnsi="Times New Roman" w:eastAsia="仿宋_GB2312"/>
          <w:sz w:val="24"/>
        </w:rPr>
        <w:t>号已成为江西省花生主栽品种。</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的良种与良法相配套，使花生在农业生产上充分发挥其增产增收的潜能，促进花生生产向标准化、产业化发展，更好地服务地方农业经济，实现农业增效、农民增收。因此，根据国家相关标准和我所多年试验研究的结果，特制定虔油</w:t>
      </w:r>
      <w:r>
        <w:rPr>
          <w:rFonts w:ascii="Times New Roman" w:hAnsi="Times New Roman" w:eastAsia="仿宋_GB2312"/>
          <w:sz w:val="24"/>
        </w:rPr>
        <w:t>1</w:t>
      </w:r>
      <w:r>
        <w:rPr>
          <w:rFonts w:hint="eastAsia" w:ascii="Times New Roman" w:hAnsi="Times New Roman" w:eastAsia="仿宋_GB2312"/>
          <w:sz w:val="24"/>
        </w:rPr>
        <w:t>号</w:t>
      </w:r>
      <w:r>
        <w:rPr>
          <w:rFonts w:hint="eastAsia" w:ascii="Times New Roman" w:hAnsi="Times New Roman" w:eastAsia="仿宋_GB2312"/>
          <w:sz w:val="24"/>
          <w:lang w:val="en-US" w:eastAsia="zh-CN"/>
        </w:rPr>
        <w:t>花生</w:t>
      </w:r>
      <w:r>
        <w:rPr>
          <w:rFonts w:hint="eastAsia" w:ascii="Times New Roman" w:hAnsi="Times New Roman" w:eastAsia="仿宋_GB2312"/>
          <w:sz w:val="24"/>
        </w:rPr>
        <w:t>栽培技术规程。</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一、标准编写概况</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（一）任务来源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仿宋_GB2312"/>
          <w:sz w:val="24"/>
          <w:lang w:val="en-US" w:eastAsia="zh-CN"/>
        </w:rPr>
      </w:pPr>
      <w:r>
        <w:rPr>
          <w:rFonts w:hint="eastAsia" w:ascii="Times New Roman" w:hAnsi="Times New Roman" w:eastAsia="仿宋_GB2312"/>
          <w:sz w:val="24"/>
        </w:rPr>
        <w:t>本标准由赣州市旱作物科学研究所负责组织调研、试验，并起草制定标准</w:t>
      </w:r>
      <w:r>
        <w:rPr>
          <w:rFonts w:hint="eastAsia" w:ascii="Times New Roman" w:hAnsi="Times New Roman" w:eastAsia="仿宋_GB2312"/>
          <w:sz w:val="24"/>
          <w:lang w:eastAsia="zh-CN"/>
        </w:rPr>
        <w:t>，任务来源主要为：江西省市场监督管理局2019年第五批拟立项地方标准制修订计划项目</w:t>
      </w:r>
      <w:r>
        <w:rPr>
          <w:rFonts w:hint="eastAsia" w:ascii="Times New Roman" w:hAnsi="Times New Roman" w:eastAsia="仿宋_GB2312"/>
          <w:sz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imes New Roman" w:hAnsi="Times New Roman" w:eastAsia="仿宋_GB2312"/>
          <w:b/>
          <w:bCs/>
          <w:sz w:val="24"/>
        </w:rPr>
      </w:pPr>
      <w:r>
        <w:rPr>
          <w:rFonts w:hint="eastAsia" w:ascii="Times New Roman" w:hAnsi="Times New Roman" w:eastAsia="仿宋_GB2312"/>
          <w:b/>
          <w:bCs/>
          <w:sz w:val="24"/>
          <w:lang w:val="en-US" w:eastAsia="zh-CN"/>
        </w:rPr>
        <w:t>（二）</w:t>
      </w:r>
      <w:r>
        <w:rPr>
          <w:rFonts w:hint="eastAsia" w:ascii="Times New Roman" w:hAnsi="Times New Roman" w:eastAsia="仿宋_GB2312"/>
          <w:b/>
          <w:bCs/>
          <w:sz w:val="24"/>
        </w:rPr>
        <w:t>主要起草单位和起草人及其所做的工作</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本标准起草单位是赣州市旱作物科学研究所。</w:t>
      </w:r>
      <w:r>
        <w:rPr>
          <w:rFonts w:ascii="Times New Roman" w:hAnsi="Times New Roman" w:eastAsia="仿宋_GB2312"/>
          <w:sz w:val="24"/>
        </w:rPr>
        <w:t>2018</w:t>
      </w:r>
      <w:r>
        <w:rPr>
          <w:rFonts w:hint="eastAsia" w:ascii="Times New Roman" w:hAnsi="Times New Roman" w:eastAsia="仿宋_GB2312"/>
          <w:sz w:val="24"/>
        </w:rPr>
        <w:t>年</w:t>
      </w:r>
      <w:r>
        <w:rPr>
          <w:rFonts w:ascii="Times New Roman" w:hAnsi="Times New Roman" w:eastAsia="仿宋_GB2312"/>
          <w:sz w:val="24"/>
        </w:rPr>
        <w:t>10</w:t>
      </w:r>
      <w:r>
        <w:rPr>
          <w:rFonts w:hint="eastAsia" w:ascii="Times New Roman" w:hAnsi="Times New Roman" w:eastAsia="仿宋_GB2312"/>
          <w:sz w:val="24"/>
        </w:rPr>
        <w:t>月，赣州市旱作物科学研究所组织技术骨干成立了标准起草工作组，工作组成员由具有较丰富的专业知识和实践经验，了解标准化工作的相关规定并具有较强的文字表达能力的同志组成。工作组成立后，制定了工作计划，明确了内部分工及进度要求，责任落实到人，编写标准草稿。</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主要起草共计</w:t>
      </w:r>
      <w:r>
        <w:rPr>
          <w:rFonts w:ascii="Times New Roman" w:hAnsi="Times New Roman" w:eastAsia="仿宋_GB2312"/>
          <w:sz w:val="24"/>
        </w:rPr>
        <w:t>13</w:t>
      </w:r>
      <w:r>
        <w:rPr>
          <w:rFonts w:hint="eastAsia" w:ascii="Times New Roman" w:hAnsi="Times New Roman" w:eastAsia="仿宋_GB2312"/>
          <w:sz w:val="24"/>
        </w:rPr>
        <w:t>人：陈荣华、张静燕、申昌优、钟秋瓒、谢丽芳、饶文平、连海、刘毅、张祖清、范呈根、欧阳卫卫、邓志杨、肖鹏。根据任务分工，陈荣华、申昌优总负责，张静燕、钟秋瓒负责制定详细工作计划、前期相关资料的收集、参与标准制订初稿的起草以及标准征求意见稿的讨论修改等工作，谢丽芳、饶文平、连海、刘毅、张祖清、范呈根、欧阳卫卫、邓志杨、肖鹏等起草人负责调研、汇总专家意见、试验验证等工作。</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本标准是在进行了严格的科学试验示范，查阅了大量相关资料文献，广泛收集和总结花生高产高效栽培技术的基础上进行编制的。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420" w:leftChars="200"/>
        <w:textAlignment w:val="auto"/>
        <w:rPr>
          <w:rFonts w:ascii="Times New Roman" w:hAnsi="Times New Roman" w:eastAsia="仿宋_GB2312"/>
          <w:b/>
          <w:bCs/>
          <w:sz w:val="24"/>
        </w:rPr>
      </w:pPr>
      <w:r>
        <w:rPr>
          <w:rFonts w:hint="eastAsia" w:ascii="Times New Roman" w:hAnsi="Times New Roman" w:eastAsia="仿宋_GB2312"/>
          <w:b/>
          <w:bCs/>
          <w:sz w:val="24"/>
        </w:rPr>
        <w:t>标准编写原则和确定标准主要内容的论据</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（一）编制原则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本标准严格按照</w:t>
      </w:r>
      <w:r>
        <w:rPr>
          <w:rFonts w:ascii="Times New Roman" w:hAnsi="Times New Roman" w:eastAsia="仿宋_GB2312"/>
          <w:sz w:val="24"/>
        </w:rPr>
        <w:t>GB/T 1.1—2009</w:t>
      </w:r>
      <w:r>
        <w:rPr>
          <w:rFonts w:hint="eastAsia" w:ascii="Times New Roman" w:hAnsi="Times New Roman" w:eastAsia="仿宋_GB2312"/>
          <w:sz w:val="24"/>
        </w:rPr>
        <w:t>《标准化工作导则</w:t>
      </w:r>
      <w:r>
        <w:rPr>
          <w:rFonts w:ascii="Times New Roman" w:hAnsi="Times New Roman" w:eastAsia="仿宋_GB2312"/>
          <w:sz w:val="24"/>
        </w:rPr>
        <w:t xml:space="preserve">  </w:t>
      </w:r>
      <w:r>
        <w:rPr>
          <w:rFonts w:hint="eastAsia" w:ascii="Times New Roman" w:hAnsi="Times New Roman" w:eastAsia="仿宋_GB2312"/>
          <w:sz w:val="24"/>
        </w:rPr>
        <w:t>第</w:t>
      </w:r>
      <w:r>
        <w:rPr>
          <w:rFonts w:ascii="Times New Roman" w:hAnsi="Times New Roman" w:eastAsia="仿宋_GB2312"/>
          <w:sz w:val="24"/>
        </w:rPr>
        <w:t>1</w:t>
      </w:r>
      <w:r>
        <w:rPr>
          <w:rFonts w:hint="eastAsia" w:ascii="Times New Roman" w:hAnsi="Times New Roman" w:eastAsia="仿宋_GB2312"/>
          <w:sz w:val="24"/>
        </w:rPr>
        <w:t>部分：标准的结构和编写》的要求，依据以下标准文件进行编制：</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 xml:space="preserve">GB4285 </w:t>
      </w:r>
      <w:r>
        <w:rPr>
          <w:rFonts w:hint="eastAsia" w:ascii="Times New Roman" w:hAnsi="Times New Roman" w:eastAsia="仿宋_GB2312"/>
          <w:sz w:val="24"/>
        </w:rPr>
        <w:t>农药安全使用标准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 xml:space="preserve">GB4407.2 </w:t>
      </w:r>
      <w:r>
        <w:rPr>
          <w:rFonts w:hint="eastAsia" w:ascii="Times New Roman" w:hAnsi="Times New Roman" w:eastAsia="仿宋_GB2312"/>
          <w:sz w:val="24"/>
        </w:rPr>
        <w:t>油料类作物种子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 xml:space="preserve">GB/T 8321 </w:t>
      </w:r>
      <w:r>
        <w:rPr>
          <w:rFonts w:hint="eastAsia" w:ascii="Times New Roman" w:hAnsi="Times New Roman" w:eastAsia="仿宋_GB2312"/>
          <w:sz w:val="24"/>
        </w:rPr>
        <w:t>农药合理使用准则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 xml:space="preserve">NY/T 496 </w:t>
      </w:r>
      <w:r>
        <w:rPr>
          <w:rFonts w:hint="eastAsia" w:ascii="Times New Roman" w:hAnsi="Times New Roman" w:eastAsia="仿宋_GB2312"/>
          <w:sz w:val="24"/>
        </w:rPr>
        <w:t>肥料合理使用准则通则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 xml:space="preserve">NY/T 855 </w:t>
      </w:r>
      <w:r>
        <w:rPr>
          <w:rFonts w:hint="eastAsia" w:ascii="Times New Roman" w:hAnsi="Times New Roman" w:eastAsia="仿宋_GB2312"/>
          <w:sz w:val="24"/>
        </w:rPr>
        <w:t>花生产地环境技术条件</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（二）确定标准主要内容的论据</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rPr>
        <w:t>、标准内容框架</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a</w:t>
      </w:r>
      <w:r>
        <w:rPr>
          <w:rFonts w:hint="eastAsia" w:ascii="Times New Roman" w:hAnsi="Times New Roman" w:eastAsia="仿宋_GB2312"/>
          <w:sz w:val="24"/>
        </w:rPr>
        <w:t>）播前准备；</w:t>
      </w:r>
      <w:r>
        <w:rPr>
          <w:rFonts w:ascii="Times New Roman" w:hAnsi="Times New Roman" w:eastAsia="仿宋_GB2312"/>
          <w:sz w:val="24"/>
        </w:rPr>
        <w:t>b</w:t>
      </w:r>
      <w:r>
        <w:rPr>
          <w:rFonts w:hint="eastAsia" w:ascii="Times New Roman" w:hAnsi="Times New Roman" w:eastAsia="仿宋_GB2312"/>
          <w:sz w:val="24"/>
        </w:rPr>
        <w:t>）播种；</w:t>
      </w:r>
      <w:r>
        <w:rPr>
          <w:rFonts w:ascii="Times New Roman" w:hAnsi="Times New Roman" w:eastAsia="仿宋_GB2312"/>
          <w:sz w:val="24"/>
        </w:rPr>
        <w:t>c</w:t>
      </w:r>
      <w:r>
        <w:rPr>
          <w:rFonts w:hint="eastAsia" w:ascii="Times New Roman" w:hAnsi="Times New Roman" w:eastAsia="仿宋_GB2312"/>
          <w:sz w:val="24"/>
        </w:rPr>
        <w:t>）田间管理；</w:t>
      </w:r>
      <w:r>
        <w:rPr>
          <w:rFonts w:ascii="Times New Roman" w:hAnsi="Times New Roman" w:eastAsia="仿宋_GB2312"/>
          <w:sz w:val="24"/>
        </w:rPr>
        <w:t xml:space="preserve">d) </w:t>
      </w:r>
      <w:r>
        <w:rPr>
          <w:rFonts w:hint="eastAsia" w:ascii="Times New Roman" w:hAnsi="Times New Roman" w:eastAsia="仿宋_GB2312"/>
          <w:sz w:val="24"/>
        </w:rPr>
        <w:t>收获。</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2</w:t>
      </w:r>
      <w:r>
        <w:rPr>
          <w:rFonts w:hint="eastAsia" w:ascii="Times New Roman" w:hAnsi="Times New Roman" w:eastAsia="仿宋_GB2312"/>
          <w:sz w:val="24"/>
        </w:rPr>
        <w:t>、范围</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本规程规定了虔油</w:t>
      </w:r>
      <w:r>
        <w:rPr>
          <w:rFonts w:ascii="Times New Roman" w:hAnsi="Times New Roman" w:eastAsia="仿宋_GB2312"/>
          <w:sz w:val="24"/>
        </w:rPr>
        <w:t>1</w:t>
      </w:r>
      <w:r>
        <w:rPr>
          <w:rFonts w:hint="eastAsia" w:ascii="Times New Roman" w:hAnsi="Times New Roman" w:eastAsia="仿宋_GB2312"/>
          <w:sz w:val="24"/>
        </w:rPr>
        <w:t>号花生生产技术所要求的产地环境、土壤选择、施肥、病虫害防治和收获、贮藏、加工、包装及运输等十四部分内容。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本规程适用于江西省境内虔油</w:t>
      </w:r>
      <w:r>
        <w:rPr>
          <w:rFonts w:ascii="Times New Roman" w:hAnsi="Times New Roman" w:eastAsia="仿宋_GB2312"/>
          <w:sz w:val="24"/>
        </w:rPr>
        <w:t>1</w:t>
      </w:r>
      <w:r>
        <w:rPr>
          <w:rFonts w:hint="eastAsia" w:ascii="Times New Roman" w:hAnsi="Times New Roman" w:eastAsia="仿宋_GB2312"/>
          <w:sz w:val="24"/>
        </w:rPr>
        <w:t>号花生生产。</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3</w:t>
      </w:r>
      <w:r>
        <w:rPr>
          <w:rFonts w:hint="eastAsia" w:ascii="Times New Roman" w:hAnsi="Times New Roman" w:eastAsia="仿宋_GB2312"/>
          <w:sz w:val="24"/>
        </w:rPr>
        <w:t>、术语</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本标准参考了现行我省及国家标准和国内有关文献资料，采用的术语通俗、明确，其他术语不另行定义和解释。</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项目及指标的确定是标准的主要技术内容，经过起草工作组研究，广泛征求行业各相关单位意见，通过实地调研、试验验证等方式，最终确定本次制订工作要与国家现行相关标准、相关文件要求协调一致，力求科学性、实用性和可操作性。</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三、主要试验（或论证）及预期的社会经济效果</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（一）主要试验（或论证）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w:t>
      </w:r>
      <w:r>
        <w:rPr>
          <w:rFonts w:hint="eastAsia" w:ascii="Times New Roman" w:hAnsi="Times New Roman" w:eastAsia="仿宋_GB2312"/>
          <w:sz w:val="24"/>
          <w:lang w:val="en-US" w:eastAsia="zh-CN"/>
        </w:rPr>
        <w:t>花生</w:t>
      </w:r>
      <w:bookmarkStart w:id="0" w:name="_GoBack"/>
      <w:bookmarkEnd w:id="0"/>
      <w:r>
        <w:rPr>
          <w:rFonts w:hint="eastAsia" w:ascii="Times New Roman" w:hAnsi="Times New Roman" w:eastAsia="仿宋_GB2312"/>
          <w:sz w:val="24"/>
        </w:rPr>
        <w:t>栽培技术规程》是在国家花生产业技术体系赣州综合试验站、赣州市科技计划项目</w:t>
      </w:r>
      <w:r>
        <w:rPr>
          <w:rFonts w:ascii="Times New Roman" w:hAnsi="Times New Roman" w:eastAsia="仿宋_GB2312"/>
          <w:sz w:val="24"/>
        </w:rPr>
        <w:t>“</w:t>
      </w: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号花生新品种高产高效栽培技术集成与示范</w:t>
      </w:r>
      <w:r>
        <w:rPr>
          <w:rFonts w:ascii="Times New Roman" w:hAnsi="Times New Roman" w:eastAsia="仿宋_GB2312"/>
          <w:sz w:val="24"/>
        </w:rPr>
        <w:t>”</w:t>
      </w:r>
      <w:r>
        <w:rPr>
          <w:rFonts w:hint="eastAsia" w:ascii="Times New Roman" w:hAnsi="Times New Roman" w:eastAsia="仿宋_GB2312"/>
          <w:sz w:val="24"/>
        </w:rPr>
        <w:t>等课题项目研究与实施的基础上，结合江西省花生生产的自然条件和社会条件，为提高江西省花生生产综合经济效益为目的而制定的。</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高产高效配套栽培技术集成与示范情况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b/>
          <w:szCs w:val="21"/>
        </w:rPr>
      </w:pPr>
      <w:r>
        <w:rPr>
          <w:rFonts w:hint="eastAsia" w:ascii="Times New Roman" w:hAnsi="Times New Roman" w:eastAsia="仿宋_GB2312"/>
          <w:sz w:val="24"/>
        </w:rPr>
        <w:t>本技术规程进行了多年多点严格的科学试验和示范。</w:t>
      </w:r>
      <w:r>
        <w:rPr>
          <w:rFonts w:ascii="Times New Roman" w:hAnsi="Times New Roman" w:eastAsia="仿宋_GB2312"/>
          <w:sz w:val="24"/>
        </w:rPr>
        <w:t>2014</w:t>
      </w:r>
      <w:r>
        <w:rPr>
          <w:rFonts w:hint="eastAsia" w:ascii="Times New Roman" w:hAnsi="Times New Roman" w:eastAsia="仿宋_GB2312"/>
          <w:sz w:val="24"/>
        </w:rPr>
        <w:t>年</w:t>
      </w:r>
      <w:r>
        <w:rPr>
          <w:rFonts w:ascii="Times New Roman" w:hAnsi="Times New Roman" w:eastAsia="仿宋_GB2312"/>
          <w:sz w:val="24"/>
        </w:rPr>
        <w:t>-2018</w:t>
      </w:r>
      <w:r>
        <w:rPr>
          <w:rFonts w:hint="eastAsia" w:ascii="Times New Roman" w:hAnsi="Times New Roman" w:eastAsia="仿宋_GB2312"/>
          <w:sz w:val="24"/>
        </w:rPr>
        <w:t>年，先后</w:t>
      </w:r>
      <w:r>
        <w:rPr>
          <w:rFonts w:ascii="Times New Roman" w:hAnsi="Times New Roman" w:eastAsia="仿宋_GB2312"/>
          <w:sz w:val="24"/>
        </w:rPr>
        <w:t>5</w:t>
      </w:r>
      <w:r>
        <w:rPr>
          <w:rFonts w:hint="eastAsia" w:ascii="Times New Roman" w:hAnsi="Times New Roman" w:eastAsia="仿宋_GB2312"/>
          <w:sz w:val="24"/>
        </w:rPr>
        <w:t>年在于都、大余、信丰、泰和、樟树等地开展了种植模式、合理施肥、病虫草害防控等增效配套栽培技术集成试验与示范，并在</w:t>
      </w:r>
      <w:r>
        <w:rPr>
          <w:rFonts w:ascii="Times New Roman" w:hAnsi="Times New Roman" w:eastAsia="仿宋_GB2312"/>
          <w:sz w:val="24"/>
        </w:rPr>
        <w:t>2017</w:t>
      </w:r>
      <w:r>
        <w:rPr>
          <w:rFonts w:hint="eastAsia" w:ascii="Times New Roman" w:hAnsi="Times New Roman" w:eastAsia="仿宋_GB2312"/>
          <w:sz w:val="24"/>
        </w:rPr>
        <w:t>年</w:t>
      </w:r>
      <w:r>
        <w:rPr>
          <w:rFonts w:ascii="Times New Roman" w:hAnsi="Times New Roman" w:eastAsia="仿宋_GB2312"/>
          <w:sz w:val="24"/>
        </w:rPr>
        <w:t>7</w:t>
      </w:r>
      <w:r>
        <w:rPr>
          <w:rFonts w:hint="eastAsia" w:ascii="Times New Roman" w:hAnsi="Times New Roman" w:eastAsia="仿宋_GB2312"/>
          <w:sz w:val="24"/>
        </w:rPr>
        <w:t>月</w:t>
      </w:r>
      <w:r>
        <w:rPr>
          <w:rFonts w:ascii="Times New Roman" w:hAnsi="Times New Roman" w:eastAsia="仿宋_GB2312"/>
          <w:sz w:val="24"/>
        </w:rPr>
        <w:t>28</w:t>
      </w:r>
      <w:r>
        <w:rPr>
          <w:rFonts w:hint="eastAsia" w:ascii="Times New Roman" w:hAnsi="Times New Roman" w:eastAsia="仿宋_GB2312"/>
          <w:sz w:val="24"/>
        </w:rPr>
        <w:t>日、</w:t>
      </w:r>
      <w:r>
        <w:rPr>
          <w:rFonts w:ascii="Times New Roman" w:hAnsi="Times New Roman" w:eastAsia="仿宋_GB2312"/>
          <w:sz w:val="24"/>
        </w:rPr>
        <w:t>2018</w:t>
      </w:r>
      <w:r>
        <w:rPr>
          <w:rFonts w:hint="eastAsia" w:ascii="Times New Roman" w:hAnsi="Times New Roman" w:eastAsia="仿宋_GB2312"/>
          <w:sz w:val="24"/>
        </w:rPr>
        <w:t>年</w:t>
      </w:r>
      <w:r>
        <w:rPr>
          <w:rFonts w:ascii="Times New Roman" w:hAnsi="Times New Roman" w:eastAsia="仿宋_GB2312"/>
          <w:sz w:val="24"/>
        </w:rPr>
        <w:t>7</w:t>
      </w:r>
      <w:r>
        <w:rPr>
          <w:rFonts w:hint="eastAsia" w:ascii="Times New Roman" w:hAnsi="Times New Roman" w:eastAsia="仿宋_GB2312"/>
          <w:sz w:val="24"/>
        </w:rPr>
        <w:t>月</w:t>
      </w:r>
      <w:r>
        <w:rPr>
          <w:rFonts w:ascii="Times New Roman" w:hAnsi="Times New Roman" w:eastAsia="仿宋_GB2312"/>
          <w:sz w:val="24"/>
        </w:rPr>
        <w:t>19</w:t>
      </w:r>
      <w:r>
        <w:rPr>
          <w:rFonts w:hint="eastAsia" w:ascii="Times New Roman" w:hAnsi="Times New Roman" w:eastAsia="仿宋_GB2312"/>
          <w:sz w:val="24"/>
        </w:rPr>
        <w:t>日由赣州市科技局组织有关专家组前往吉安市泰和县沿溪花生试验示范基地、赣州市大余县青龙镇花生试验示范基地对虔油</w:t>
      </w:r>
      <w:r>
        <w:rPr>
          <w:rFonts w:ascii="Times New Roman" w:hAnsi="Times New Roman" w:eastAsia="仿宋_GB2312"/>
          <w:sz w:val="24"/>
        </w:rPr>
        <w:t>1</w:t>
      </w:r>
      <w:r>
        <w:rPr>
          <w:rFonts w:hint="eastAsia" w:ascii="Times New Roman" w:hAnsi="Times New Roman" w:eastAsia="仿宋_GB2312"/>
          <w:sz w:val="24"/>
        </w:rPr>
        <w:t>号花生新品种进行田间现场测产，虔油</w:t>
      </w:r>
      <w:r>
        <w:rPr>
          <w:rFonts w:ascii="Times New Roman" w:hAnsi="Times New Roman" w:eastAsia="仿宋_GB2312"/>
          <w:sz w:val="24"/>
        </w:rPr>
        <w:t>1</w:t>
      </w:r>
      <w:r>
        <w:rPr>
          <w:rFonts w:hint="eastAsia" w:ascii="Times New Roman" w:hAnsi="Times New Roman" w:eastAsia="仿宋_GB2312"/>
          <w:sz w:val="24"/>
        </w:rPr>
        <w:t>号田间整体长相均匀一致，主茎绿叶数多，耐熟性好，不早衰，抗病性、抗旱性表现明显优于对照，两年综合平均亩产为</w:t>
      </w:r>
      <w:r>
        <w:rPr>
          <w:rFonts w:ascii="Times New Roman" w:hAnsi="Times New Roman" w:eastAsia="仿宋_GB2312"/>
          <w:sz w:val="24"/>
        </w:rPr>
        <w:t>331.38kg/</w:t>
      </w:r>
      <w:r>
        <w:rPr>
          <w:rFonts w:hint="eastAsia" w:ascii="Times New Roman" w:hAnsi="Times New Roman" w:eastAsia="仿宋_GB2312"/>
          <w:sz w:val="24"/>
        </w:rPr>
        <w:t>亩，比对照增产</w:t>
      </w:r>
      <w:r>
        <w:rPr>
          <w:rFonts w:ascii="Times New Roman" w:hAnsi="Times New Roman" w:eastAsia="仿宋_GB2312"/>
          <w:sz w:val="24"/>
        </w:rPr>
        <w:t>54.2kg/</w:t>
      </w:r>
      <w:r>
        <w:rPr>
          <w:rFonts w:hint="eastAsia" w:ascii="Times New Roman" w:hAnsi="Times New Roman" w:eastAsia="仿宋_GB2312"/>
          <w:sz w:val="24"/>
        </w:rPr>
        <w:t>亩，增产率为</w:t>
      </w:r>
      <w:r>
        <w:rPr>
          <w:rFonts w:ascii="Times New Roman" w:hAnsi="Times New Roman" w:eastAsia="仿宋_GB2312"/>
          <w:sz w:val="24"/>
        </w:rPr>
        <w:t>19.6%</w:t>
      </w:r>
      <w:r>
        <w:rPr>
          <w:rFonts w:hint="eastAsia" w:ascii="Times New Roman" w:hAnsi="Times New Roman" w:eastAsia="仿宋_GB2312"/>
          <w:sz w:val="24"/>
        </w:rPr>
        <w:t>，增产达显著水平。</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Cs w:val="21"/>
        </w:rPr>
      </w:pPr>
      <w:r>
        <w:rPr>
          <w:rFonts w:hint="eastAsia" w:ascii="Times New Roman" w:hAnsi="Times New Roman"/>
          <w:b/>
          <w:szCs w:val="21"/>
        </w:rPr>
        <w:t>表</w:t>
      </w:r>
      <w:r>
        <w:rPr>
          <w:rFonts w:ascii="Times New Roman" w:hAnsi="Times New Roman"/>
          <w:b/>
          <w:szCs w:val="21"/>
        </w:rPr>
        <w:t>1</w:t>
      </w:r>
      <w:r>
        <w:rPr>
          <w:rFonts w:hint="eastAsia" w:ascii="Times New Roman" w:hAnsi="Times New Roman"/>
          <w:b/>
          <w:szCs w:val="21"/>
        </w:rPr>
        <w:t>虔油</w:t>
      </w:r>
      <w:r>
        <w:rPr>
          <w:rFonts w:ascii="Times New Roman" w:hAnsi="Times New Roman"/>
          <w:b/>
          <w:szCs w:val="21"/>
        </w:rPr>
        <w:t>1</w:t>
      </w:r>
      <w:r>
        <w:rPr>
          <w:rFonts w:hint="eastAsia" w:ascii="Times New Roman" w:hAnsi="Times New Roman"/>
          <w:b/>
          <w:szCs w:val="21"/>
        </w:rPr>
        <w:t>号高产高效配套栽培技术集成示范产量</w:t>
      </w:r>
    </w:p>
    <w:tbl>
      <w:tblPr>
        <w:tblStyle w:val="3"/>
        <w:tblpPr w:leftFromText="180" w:rightFromText="180" w:vertAnchor="text" w:tblpXSpec="center" w:tblpY="15"/>
        <w:tblOverlap w:val="never"/>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207"/>
        <w:gridCol w:w="1772"/>
        <w:gridCol w:w="1811"/>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31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bCs/>
                <w:sz w:val="18"/>
                <w:szCs w:val="18"/>
              </w:rPr>
            </w:pPr>
            <w:r>
              <w:rPr>
                <w:rFonts w:hint="eastAsia" w:ascii="Times New Roman" w:hAnsi="Times New Roman"/>
                <w:b/>
                <w:bCs/>
                <w:sz w:val="18"/>
                <w:szCs w:val="18"/>
              </w:rPr>
              <w:t>品种</w:t>
            </w:r>
          </w:p>
        </w:tc>
        <w:tc>
          <w:tcPr>
            <w:tcW w:w="220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bCs/>
                <w:sz w:val="18"/>
                <w:szCs w:val="18"/>
              </w:rPr>
            </w:pPr>
            <w:r>
              <w:rPr>
                <w:rFonts w:hint="eastAsia" w:ascii="Times New Roman" w:hAnsi="Times New Roman"/>
                <w:b/>
                <w:bCs/>
                <w:sz w:val="18"/>
                <w:szCs w:val="18"/>
              </w:rPr>
              <w:t>测产日期</w:t>
            </w:r>
          </w:p>
        </w:tc>
        <w:tc>
          <w:tcPr>
            <w:tcW w:w="177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bCs/>
                <w:sz w:val="18"/>
                <w:szCs w:val="18"/>
              </w:rPr>
            </w:pPr>
            <w:r>
              <w:rPr>
                <w:rFonts w:hint="eastAsia" w:ascii="Times New Roman" w:hAnsi="Times New Roman"/>
                <w:b/>
                <w:bCs/>
                <w:sz w:val="18"/>
                <w:szCs w:val="18"/>
              </w:rPr>
              <w:t>荚果产量（</w:t>
            </w:r>
            <w:r>
              <w:rPr>
                <w:rFonts w:ascii="Times New Roman" w:hAnsi="Times New Roman"/>
                <w:b/>
                <w:bCs/>
                <w:sz w:val="18"/>
                <w:szCs w:val="18"/>
              </w:rPr>
              <w:t>kg/</w:t>
            </w:r>
            <w:r>
              <w:rPr>
                <w:rFonts w:hint="eastAsia" w:ascii="Times New Roman" w:hAnsi="Times New Roman"/>
                <w:b/>
                <w:bCs/>
                <w:sz w:val="18"/>
                <w:szCs w:val="18"/>
              </w:rPr>
              <w:t>亩）</w:t>
            </w:r>
          </w:p>
        </w:tc>
        <w:tc>
          <w:tcPr>
            <w:tcW w:w="181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bCs/>
                <w:sz w:val="18"/>
                <w:szCs w:val="18"/>
              </w:rPr>
            </w:pPr>
            <w:r>
              <w:rPr>
                <w:rFonts w:hint="eastAsia" w:ascii="Times New Roman" w:hAnsi="Times New Roman"/>
                <w:b/>
                <w:bCs/>
                <w:sz w:val="18"/>
                <w:szCs w:val="18"/>
              </w:rPr>
              <w:t>比对照增产（</w:t>
            </w:r>
            <w:r>
              <w:rPr>
                <w:rFonts w:ascii="Times New Roman" w:hAnsi="Times New Roman"/>
                <w:b/>
                <w:bCs/>
                <w:sz w:val="18"/>
                <w:szCs w:val="18"/>
              </w:rPr>
              <w:t>kg/</w:t>
            </w:r>
            <w:r>
              <w:rPr>
                <w:rFonts w:hint="eastAsia" w:ascii="Times New Roman" w:hAnsi="Times New Roman"/>
                <w:b/>
                <w:bCs/>
                <w:sz w:val="18"/>
                <w:szCs w:val="18"/>
              </w:rPr>
              <w:t>亩）</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bCs/>
                <w:sz w:val="18"/>
                <w:szCs w:val="18"/>
              </w:rPr>
            </w:pPr>
            <w:r>
              <w:rPr>
                <w:rFonts w:hint="eastAsia" w:ascii="Times New Roman" w:hAnsi="Times New Roman"/>
                <w:b/>
                <w:bCs/>
                <w:sz w:val="18"/>
                <w:szCs w:val="18"/>
              </w:rPr>
              <w:t>增产率（</w:t>
            </w:r>
            <w:r>
              <w:rPr>
                <w:rFonts w:ascii="Times New Roman" w:hAnsi="Times New Roman"/>
                <w:b/>
                <w:bCs/>
                <w:sz w:val="18"/>
                <w:szCs w:val="18"/>
              </w:rPr>
              <w:t>%</w:t>
            </w:r>
            <w:r>
              <w:rPr>
                <w:rFonts w:hint="eastAsia" w:ascii="Times New Roman" w:hAnsi="Times New Roman"/>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314"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hint="eastAsia" w:ascii="Times New Roman" w:hAnsi="Times New Roman"/>
                <w:sz w:val="18"/>
                <w:szCs w:val="18"/>
              </w:rPr>
              <w:t>虔油</w:t>
            </w:r>
            <w:r>
              <w:rPr>
                <w:rFonts w:ascii="Times New Roman" w:hAnsi="Times New Roman"/>
                <w:sz w:val="18"/>
                <w:szCs w:val="18"/>
              </w:rPr>
              <w:t>1</w:t>
            </w:r>
            <w:r>
              <w:rPr>
                <w:rFonts w:hint="eastAsia" w:ascii="Times New Roman" w:hAnsi="Times New Roman"/>
                <w:sz w:val="18"/>
                <w:szCs w:val="18"/>
              </w:rPr>
              <w:t>号</w:t>
            </w:r>
          </w:p>
        </w:tc>
        <w:tc>
          <w:tcPr>
            <w:tcW w:w="220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2017</w:t>
            </w:r>
            <w:r>
              <w:rPr>
                <w:rFonts w:hint="eastAsia" w:ascii="Times New Roman" w:hAnsi="Times New Roman"/>
                <w:sz w:val="18"/>
                <w:szCs w:val="18"/>
              </w:rPr>
              <w:t>年</w:t>
            </w:r>
            <w:r>
              <w:rPr>
                <w:rFonts w:ascii="Times New Roman" w:hAnsi="Times New Roman"/>
                <w:sz w:val="18"/>
                <w:szCs w:val="18"/>
              </w:rPr>
              <w:t>7</w:t>
            </w:r>
            <w:r>
              <w:rPr>
                <w:rFonts w:hint="eastAsia" w:ascii="Times New Roman" w:hAnsi="Times New Roman"/>
                <w:sz w:val="18"/>
                <w:szCs w:val="18"/>
              </w:rPr>
              <w:t>月</w:t>
            </w:r>
            <w:r>
              <w:rPr>
                <w:rFonts w:ascii="Times New Roman" w:hAnsi="Times New Roman"/>
                <w:sz w:val="18"/>
                <w:szCs w:val="18"/>
              </w:rPr>
              <w:t>28</w:t>
            </w:r>
            <w:r>
              <w:rPr>
                <w:rFonts w:hint="eastAsia" w:ascii="Times New Roman" w:hAnsi="Times New Roman"/>
                <w:sz w:val="18"/>
                <w:szCs w:val="18"/>
              </w:rPr>
              <w:t>日</w:t>
            </w:r>
          </w:p>
        </w:tc>
        <w:tc>
          <w:tcPr>
            <w:tcW w:w="177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312.56</w:t>
            </w:r>
          </w:p>
        </w:tc>
        <w:tc>
          <w:tcPr>
            <w:tcW w:w="181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52.10</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314"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p>
        </w:tc>
        <w:tc>
          <w:tcPr>
            <w:tcW w:w="220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2018</w:t>
            </w:r>
            <w:r>
              <w:rPr>
                <w:rFonts w:hint="eastAsia" w:ascii="Times New Roman" w:hAnsi="Times New Roman"/>
                <w:sz w:val="18"/>
                <w:szCs w:val="18"/>
              </w:rPr>
              <w:t>年</w:t>
            </w:r>
            <w:r>
              <w:rPr>
                <w:rFonts w:ascii="Times New Roman" w:hAnsi="Times New Roman"/>
                <w:sz w:val="18"/>
                <w:szCs w:val="18"/>
              </w:rPr>
              <w:t>7</w:t>
            </w:r>
            <w:r>
              <w:rPr>
                <w:rFonts w:hint="eastAsia" w:ascii="Times New Roman" w:hAnsi="Times New Roman"/>
                <w:sz w:val="18"/>
                <w:szCs w:val="18"/>
              </w:rPr>
              <w:t>月</w:t>
            </w:r>
            <w:r>
              <w:rPr>
                <w:rFonts w:ascii="Times New Roman" w:hAnsi="Times New Roman"/>
                <w:sz w:val="18"/>
                <w:szCs w:val="18"/>
              </w:rPr>
              <w:t>19</w:t>
            </w:r>
            <w:r>
              <w:rPr>
                <w:rFonts w:hint="eastAsia" w:ascii="Times New Roman" w:hAnsi="Times New Roman"/>
                <w:sz w:val="18"/>
                <w:szCs w:val="18"/>
              </w:rPr>
              <w:t>日</w:t>
            </w:r>
          </w:p>
        </w:tc>
        <w:tc>
          <w:tcPr>
            <w:tcW w:w="177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350.2</w:t>
            </w:r>
          </w:p>
        </w:tc>
        <w:tc>
          <w:tcPr>
            <w:tcW w:w="181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56.3</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314"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p>
        </w:tc>
        <w:tc>
          <w:tcPr>
            <w:tcW w:w="220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hint="eastAsia" w:ascii="Times New Roman" w:hAnsi="Times New Roman"/>
                <w:sz w:val="18"/>
                <w:szCs w:val="18"/>
              </w:rPr>
              <w:t>综合</w:t>
            </w:r>
          </w:p>
        </w:tc>
        <w:tc>
          <w:tcPr>
            <w:tcW w:w="1772"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331.38</w:t>
            </w:r>
          </w:p>
        </w:tc>
        <w:tc>
          <w:tcPr>
            <w:tcW w:w="181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54.2</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sz w:val="18"/>
                <w:szCs w:val="18"/>
              </w:rPr>
            </w:pPr>
            <w:r>
              <w:rPr>
                <w:rFonts w:ascii="Times New Roman" w:hAnsi="Times New Roman"/>
                <w:sz w:val="18"/>
                <w:szCs w:val="18"/>
              </w:rPr>
              <w:t>19.6</w:t>
            </w:r>
          </w:p>
        </w:tc>
      </w:tr>
    </w:tbl>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ascii="Times New Roman" w:hAnsi="Times New Roman" w:eastAsia="仿宋_GB2312"/>
          <w:b/>
          <w:bCs/>
          <w:sz w:val="24"/>
        </w:rPr>
        <w:t>2.</w:t>
      </w:r>
      <w:r>
        <w:rPr>
          <w:rFonts w:hint="eastAsia" w:ascii="Times New Roman" w:hAnsi="Times New Roman" w:eastAsia="仿宋_GB2312"/>
          <w:b/>
          <w:bCs/>
          <w:sz w:val="24"/>
        </w:rPr>
        <w:t>大面积辐射推广情况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仿宋_GB2312"/>
          <w:sz w:val="24"/>
        </w:rPr>
      </w:pPr>
      <w:r>
        <w:rPr>
          <w:rFonts w:hint="eastAsia" w:ascii="Times New Roman" w:hAnsi="Times New Roman" w:eastAsia="仿宋_GB2312"/>
          <w:sz w:val="24"/>
        </w:rPr>
        <w:t>2014-2018年虔油1号品种在江西花生产区推广265万亩，在广东、湖南等产区推广34万亩，新增产量10691.4万斤，累计新增产值达84450.44万元</w:t>
      </w:r>
      <w:r>
        <w:rPr>
          <w:rFonts w:hint="eastAsia" w:ascii="Times New Roman" w:hAnsi="Times New Roman" w:eastAsia="仿宋_GB2312"/>
          <w:sz w:val="24"/>
          <w:lang w:eastAsia="zh-CN"/>
        </w:rPr>
        <w:t>，</w:t>
      </w:r>
      <w:r>
        <w:rPr>
          <w:rFonts w:hint="eastAsia" w:ascii="Times New Roman" w:hAnsi="Times New Roman" w:eastAsia="仿宋_GB2312"/>
          <w:sz w:val="24"/>
        </w:rPr>
        <w:t>虔油</w:t>
      </w:r>
      <w:r>
        <w:rPr>
          <w:rFonts w:ascii="Times New Roman" w:hAnsi="Times New Roman" w:eastAsia="仿宋_GB2312"/>
          <w:sz w:val="24"/>
        </w:rPr>
        <w:t>1</w:t>
      </w:r>
      <w:r>
        <w:rPr>
          <w:rFonts w:hint="eastAsia" w:ascii="Times New Roman" w:hAnsi="Times New Roman" w:eastAsia="仿宋_GB2312"/>
          <w:sz w:val="24"/>
        </w:rPr>
        <w:t>号已成为当前江西省花生的主栽品种。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sz w:val="24"/>
        </w:rPr>
      </w:pPr>
    </w:p>
    <w:p>
      <w:pPr>
        <w:keepNext w:val="0"/>
        <w:keepLines w:val="0"/>
        <w:pageBreakBefore w:val="0"/>
        <w:widowControl w:val="0"/>
        <w:kinsoku/>
        <w:wordWrap/>
        <w:overflowPunct/>
        <w:topLinePunct w:val="0"/>
        <w:autoSpaceDE/>
        <w:autoSpaceDN/>
        <w:bidi w:val="0"/>
        <w:adjustRightInd/>
        <w:snapToGrid/>
        <w:spacing w:before="217" w:beforeLines="50" w:line="240" w:lineRule="auto"/>
        <w:jc w:val="both"/>
        <w:textAlignment w:val="auto"/>
        <w:rPr>
          <w:rFonts w:hint="default" w:ascii="Times New Roman" w:hAnsi="Times New Roman" w:eastAsia="宋体" w:cs="Times New Roman"/>
          <w:b/>
          <w:color w:val="000000"/>
          <w:sz w:val="21"/>
          <w:szCs w:val="21"/>
        </w:rPr>
      </w:pPr>
    </w:p>
    <w:p>
      <w:pPr>
        <w:keepNext w:val="0"/>
        <w:keepLines w:val="0"/>
        <w:pageBreakBefore w:val="0"/>
        <w:widowControl w:val="0"/>
        <w:kinsoku/>
        <w:wordWrap/>
        <w:overflowPunct/>
        <w:topLinePunct w:val="0"/>
        <w:autoSpaceDE/>
        <w:autoSpaceDN/>
        <w:bidi w:val="0"/>
        <w:adjustRightInd/>
        <w:snapToGrid/>
        <w:spacing w:before="217" w:beforeLines="50" w:line="240" w:lineRule="auto"/>
        <w:jc w:val="center"/>
        <w:textAlignment w:val="auto"/>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表</w:t>
      </w:r>
      <w:r>
        <w:rPr>
          <w:rFonts w:hint="default" w:ascii="Times New Roman" w:hAnsi="Times New Roman" w:eastAsia="宋体" w:cs="Times New Roman"/>
          <w:b/>
          <w:color w:val="000000"/>
          <w:sz w:val="21"/>
          <w:szCs w:val="21"/>
          <w:lang w:val="en-US" w:eastAsia="zh-CN"/>
        </w:rPr>
        <w:t>2</w:t>
      </w:r>
      <w:r>
        <w:rPr>
          <w:rFonts w:hint="default" w:ascii="Times New Roman" w:hAnsi="Times New Roman" w:eastAsia="宋体" w:cs="Times New Roman"/>
          <w:b/>
          <w:color w:val="000000"/>
          <w:sz w:val="21"/>
          <w:szCs w:val="21"/>
        </w:rPr>
        <w:t>成果推广应用面积及经济效益</w:t>
      </w:r>
    </w:p>
    <w:tbl>
      <w:tblPr>
        <w:tblStyle w:val="3"/>
        <w:tblpPr w:leftFromText="180" w:rightFromText="180" w:vertAnchor="text" w:tblpXSpec="center" w:tblpY="192"/>
        <w:tblOverlap w:val="never"/>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2022"/>
        <w:gridCol w:w="221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应用区域</w:t>
            </w:r>
          </w:p>
        </w:tc>
        <w:tc>
          <w:tcPr>
            <w:tcW w:w="20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应用面积</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（万亩）</w:t>
            </w:r>
          </w:p>
        </w:tc>
        <w:tc>
          <w:tcPr>
            <w:tcW w:w="22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新增产量</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（万公斤）</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新增产值</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江西省</w:t>
            </w:r>
          </w:p>
        </w:tc>
        <w:tc>
          <w:tcPr>
            <w:tcW w:w="20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265</w:t>
            </w:r>
          </w:p>
        </w:tc>
        <w:tc>
          <w:tcPr>
            <w:tcW w:w="22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10229</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81218.26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广东省</w:t>
            </w:r>
          </w:p>
        </w:tc>
        <w:tc>
          <w:tcPr>
            <w:tcW w:w="20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w:t>
            </w:r>
          </w:p>
        </w:tc>
        <w:tc>
          <w:tcPr>
            <w:tcW w:w="22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122.4</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1192.</w:t>
            </w:r>
            <w:r>
              <w:rPr>
                <w:rFonts w:hint="default" w:ascii="Times New Roman" w:hAnsi="Times New Roman" w:eastAsia="宋体" w:cs="Times New Roman"/>
                <w:color w:val="000000"/>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湖南省</w:t>
            </w:r>
          </w:p>
        </w:tc>
        <w:tc>
          <w:tcPr>
            <w:tcW w:w="20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25</w:t>
            </w:r>
          </w:p>
        </w:tc>
        <w:tc>
          <w:tcPr>
            <w:tcW w:w="22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340.0</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34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合计</w:t>
            </w:r>
          </w:p>
        </w:tc>
        <w:tc>
          <w:tcPr>
            <w:tcW w:w="20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299</w:t>
            </w:r>
          </w:p>
        </w:tc>
        <w:tc>
          <w:tcPr>
            <w:tcW w:w="22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10691.4</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r>
              <w:rPr>
                <w:rFonts w:hint="default" w:ascii="Times New Roman" w:hAnsi="Times New Roman" w:eastAsia="宋体" w:cs="Times New Roman"/>
                <w:color w:val="000000"/>
                <w:sz w:val="21"/>
                <w:szCs w:val="21"/>
                <w:lang w:val="en-US" w:eastAsia="zh-CN"/>
              </w:rPr>
              <w:t>4450.44</w:t>
            </w:r>
          </w:p>
        </w:tc>
      </w:tr>
    </w:tbl>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预期的社会经济效果</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ascii="Times New Roman" w:hAnsi="Times New Roman" w:eastAsia="仿宋_GB2312"/>
          <w:b/>
          <w:bCs/>
          <w:sz w:val="24"/>
        </w:rPr>
        <w:t>1</w:t>
      </w:r>
      <w:r>
        <w:rPr>
          <w:rFonts w:hint="eastAsia" w:ascii="Times New Roman" w:hAnsi="Times New Roman" w:eastAsia="仿宋_GB2312"/>
          <w:b/>
          <w:bCs/>
          <w:sz w:val="24"/>
        </w:rPr>
        <w:t>、预期经济效益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预期未来</w:t>
      </w:r>
      <w:r>
        <w:rPr>
          <w:rFonts w:ascii="Times New Roman" w:hAnsi="Times New Roman" w:eastAsia="仿宋_GB2312"/>
          <w:sz w:val="24"/>
        </w:rPr>
        <w:t>5</w:t>
      </w:r>
      <w:r>
        <w:rPr>
          <w:rFonts w:hint="eastAsia" w:ascii="Times New Roman" w:hAnsi="Times New Roman" w:eastAsia="仿宋_GB2312"/>
          <w:sz w:val="24"/>
        </w:rPr>
        <w:t>年内，本项目技术成果可继续推广应用</w:t>
      </w:r>
      <w:r>
        <w:rPr>
          <w:rFonts w:ascii="Times New Roman" w:hAnsi="Times New Roman" w:eastAsia="仿宋_GB2312"/>
          <w:sz w:val="24"/>
        </w:rPr>
        <w:t>100</w:t>
      </w:r>
      <w:r>
        <w:rPr>
          <w:rFonts w:hint="eastAsia" w:ascii="Times New Roman" w:hAnsi="Times New Roman" w:eastAsia="仿宋_GB2312"/>
          <w:sz w:val="24"/>
        </w:rPr>
        <w:t>万亩以上，预期社会经济效益可达</w:t>
      </w:r>
      <w:r>
        <w:rPr>
          <w:rFonts w:ascii="Times New Roman" w:hAnsi="Times New Roman" w:eastAsia="仿宋_GB2312"/>
          <w:sz w:val="24"/>
        </w:rPr>
        <w:t>4.0</w:t>
      </w:r>
      <w:r>
        <w:rPr>
          <w:rFonts w:hint="eastAsia" w:ascii="Times New Roman" w:hAnsi="Times New Roman" w:eastAsia="仿宋_GB2312"/>
          <w:sz w:val="24"/>
        </w:rPr>
        <w:t>亿元。</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ascii="Times New Roman" w:hAnsi="Times New Roman" w:eastAsia="仿宋_GB2312"/>
          <w:b/>
          <w:bCs/>
          <w:sz w:val="24"/>
        </w:rPr>
        <w:t>2</w:t>
      </w:r>
      <w:r>
        <w:rPr>
          <w:rFonts w:hint="eastAsia" w:ascii="Times New Roman" w:hAnsi="Times New Roman" w:eastAsia="仿宋_GB2312"/>
          <w:b/>
          <w:bCs/>
          <w:sz w:val="24"/>
        </w:rPr>
        <w:t>、社会效益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的实施可减免人工除草工序，提高劳动生产率；有利于合理调节劳动力，解决双夏大忙期间粮油争工矛盾；有利于发展花生产品深加工业，促进劳动就业；有利于实现花生高产稳产及优质高效的目标，生产出优质、高产、安全与高值的花生产品，保障食物安全与人体健康。</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ascii="Times New Roman" w:hAnsi="Times New Roman" w:eastAsia="仿宋_GB2312"/>
          <w:b/>
          <w:bCs/>
          <w:sz w:val="24"/>
        </w:rPr>
        <w:t>3</w:t>
      </w:r>
      <w:r>
        <w:rPr>
          <w:rFonts w:hint="eastAsia" w:ascii="Times New Roman" w:hAnsi="Times New Roman" w:eastAsia="仿宋_GB2312"/>
          <w:b/>
          <w:bCs/>
          <w:sz w:val="24"/>
        </w:rPr>
        <w:t>、生态效益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标准的实施有利于合理轮作，培肥地力、改良土壤，用地养地相结合，促进农田生态环境的良性循环；有利于控制工业化肥和化学农药的滥施滥用，减少农田环境污染，保护土壤耕层生产环境；有利于品种区域化布局，控制病虫害的发生与流行，改善农田生态环境。</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四、采用国际标准和国外先进标准的程度及水平对比</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仿宋_GB2312"/>
          <w:sz w:val="24"/>
        </w:rPr>
      </w:pPr>
      <w:r>
        <w:rPr>
          <w:rFonts w:hint="eastAsia" w:ascii="Times New Roman" w:hAnsi="Times New Roman" w:eastAsia="仿宋_GB2312"/>
          <w:sz w:val="24"/>
        </w:rPr>
        <w:t>目前，国内外有关花生高产高效配套栽培技术方面的行业标准、地方标准较多，但未见有针对我省特殊生态气候条件和自主选育花生优良新品种的配套栽培技术标准。本标准充分参考、采用了国内有关技术的最新标准，在标准化的各个环节上都达到了规范要求。</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仿宋_GB2312"/>
          <w:sz w:val="24"/>
        </w:rPr>
      </w:pPr>
      <w:r>
        <w:rPr>
          <w:rFonts w:hint="eastAsia" w:ascii="Times New Roman" w:hAnsi="Times New Roman" w:eastAsia="仿宋_GB2312"/>
          <w:sz w:val="24"/>
        </w:rPr>
        <w:t>本标准依托国家花生产业技术体系赣州综合试验站及赣州市科技计划项目，以多年的研究积累为基础，围绕自主选育的虔油1号花生良种，综合归纳制定了本项花生高产高效配套栽培技术标准，为我省标准化、规模化的花生生产奠定了良好的物质和技术基础，最大程度发挥良种良法潜力，达到丰产、稳定、高产、绿色环保的目的，保障我省花生产业可持续发展。本标准在填补相关技术空白的同时，具有较强的适宜性、科学性和可操作性，在国内处于领先水平。</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五、与现行有关法律、法规和强制性标准的关系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hint="eastAsia" w:ascii="Times New Roman" w:hAnsi="Times New Roman" w:eastAsia="仿宋_GB2312"/>
          <w:sz w:val="24"/>
        </w:rPr>
        <w:t>本规程中所涉及的物质药剂等指标均符合国家现行法律、法规和强制性标准的规定，对强制性标准的部分均须按照强制性标准的要求执行。</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imes New Roman" w:hAnsi="Times New Roman" w:eastAsia="仿宋_GB2312"/>
          <w:b/>
          <w:bCs/>
          <w:sz w:val="24"/>
        </w:rPr>
      </w:pPr>
      <w:r>
        <w:rPr>
          <w:rFonts w:hint="eastAsia" w:ascii="Times New Roman" w:hAnsi="Times New Roman" w:eastAsia="仿宋_GB2312"/>
          <w:b/>
          <w:bCs/>
          <w:sz w:val="24"/>
        </w:rPr>
        <w:t>六、贯彻本规程的要求和措施建议</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rPr>
        <w:t>、在实施前保证文本的充足供应，让基层、专业合作社、农民等每个使用者都能及时得到文本，这是保证新规程标准贯彻实施的基础。</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仿宋_GB2312"/>
          <w:sz w:val="24"/>
        </w:rPr>
      </w:pPr>
      <w:r>
        <w:rPr>
          <w:rFonts w:ascii="Times New Roman" w:hAnsi="Times New Roman" w:eastAsia="仿宋_GB2312"/>
          <w:sz w:val="24"/>
        </w:rPr>
        <w:t>2</w:t>
      </w:r>
      <w:r>
        <w:rPr>
          <w:rFonts w:hint="eastAsia" w:ascii="Times New Roman" w:hAnsi="Times New Roman" w:eastAsia="仿宋_GB2312"/>
          <w:sz w:val="24"/>
        </w:rPr>
        <w:t>、发布后、实施前应将信息在媒体上进行宣传。</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仿宋_GB2312"/>
          <w:sz w:val="24"/>
          <w:lang w:val="en-US" w:eastAsia="zh-CN"/>
        </w:rPr>
      </w:pPr>
      <w:r>
        <w:rPr>
          <w:rFonts w:ascii="Times New Roman" w:hAnsi="Times New Roman" w:eastAsia="仿宋_GB2312"/>
          <w:sz w:val="24"/>
        </w:rPr>
        <w:t>3</w:t>
      </w:r>
      <w:r>
        <w:rPr>
          <w:rFonts w:hint="eastAsia" w:ascii="Times New Roman" w:hAnsi="Times New Roman" w:eastAsia="仿宋_GB2312"/>
          <w:sz w:val="24"/>
        </w:rPr>
        <w:t>、该标准发布实施后，关键在于落实，项目组将加强宣贯工作进行普及推广应用</w:t>
      </w:r>
      <w:r>
        <w:rPr>
          <w:rFonts w:hint="eastAsia" w:ascii="Times New Roman" w:hAnsi="Times New Roman" w:eastAsia="仿宋_GB2312"/>
          <w:sz w:val="24"/>
          <w:lang w:eastAsia="zh-CN"/>
        </w:rPr>
        <w:t>，</w:t>
      </w:r>
      <w:r>
        <w:rPr>
          <w:rFonts w:hint="eastAsia" w:ascii="Times New Roman" w:hAnsi="Times New Roman" w:eastAsia="仿宋_GB2312"/>
          <w:sz w:val="24"/>
          <w:lang w:val="en-US" w:eastAsia="zh-CN"/>
        </w:rPr>
        <w:t>重点</w:t>
      </w:r>
      <w:r>
        <w:rPr>
          <w:rFonts w:hint="eastAsia" w:ascii="Times New Roman" w:hAnsi="Times New Roman" w:eastAsia="仿宋_GB2312"/>
          <w:sz w:val="24"/>
        </w:rPr>
        <w:t>深入市县农业局、专业合作社、乡镇村等地举办培训班，针对栽培关键环节和技术进行培训，在重点分布区进行技术指导</w:t>
      </w:r>
      <w:r>
        <w:rPr>
          <w:rFonts w:hint="eastAsia" w:ascii="Times New Roman" w:hAnsi="Times New Roman" w:eastAsia="仿宋_GB2312"/>
          <w:sz w:val="24"/>
          <w:lang w:eastAsia="zh-CN"/>
        </w:rPr>
        <w:t>。</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仿宋_GB2312"/>
          <w:sz w:val="24"/>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仿宋_GB2312"/>
          <w:sz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C27EB9"/>
    <w:multiLevelType w:val="singleLevel"/>
    <w:tmpl w:val="9BC27EB9"/>
    <w:lvl w:ilvl="0" w:tentative="0">
      <w:start w:val="2"/>
      <w:numFmt w:val="chineseCounting"/>
      <w:suff w:val="nothing"/>
      <w:lvlText w:val="（%1）"/>
      <w:lvlJc w:val="left"/>
      <w:rPr>
        <w:rFonts w:hint="eastAsia" w:cs="Times New Roman"/>
      </w:rPr>
    </w:lvl>
  </w:abstractNum>
  <w:abstractNum w:abstractNumId="1">
    <w:nsid w:val="02372EF6"/>
    <w:multiLevelType w:val="singleLevel"/>
    <w:tmpl w:val="02372EF6"/>
    <w:lvl w:ilvl="0" w:tentative="0">
      <w:start w:val="4"/>
      <w:numFmt w:val="decimal"/>
      <w:suff w:val="nothing"/>
      <w:lvlText w:val="%1、"/>
      <w:lvlJc w:val="left"/>
      <w:rPr>
        <w:rFonts w:cs="Times New Roman"/>
      </w:rPr>
    </w:lvl>
  </w:abstractNum>
  <w:abstractNum w:abstractNumId="2">
    <w:nsid w:val="0B13DAD6"/>
    <w:multiLevelType w:val="singleLevel"/>
    <w:tmpl w:val="0B13DAD6"/>
    <w:lvl w:ilvl="0" w:tentative="0">
      <w:start w:val="1"/>
      <w:numFmt w:val="decimal"/>
      <w:suff w:val="nothing"/>
      <w:lvlText w:val="%1、"/>
      <w:lvlJc w:val="left"/>
      <w:rPr>
        <w:rFonts w:cs="Times New Roman"/>
      </w:rPr>
    </w:lvl>
  </w:abstractNum>
  <w:abstractNum w:abstractNumId="3">
    <w:nsid w:val="7FE8EABD"/>
    <w:multiLevelType w:val="singleLevel"/>
    <w:tmpl w:val="7FE8EABD"/>
    <w:lvl w:ilvl="0" w:tentative="0">
      <w:start w:val="2"/>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6627"/>
    <w:rsid w:val="00114E6A"/>
    <w:rsid w:val="00186627"/>
    <w:rsid w:val="02325312"/>
    <w:rsid w:val="34632B4B"/>
    <w:rsid w:val="42132C5D"/>
    <w:rsid w:val="5C5A0D1B"/>
    <w:rsid w:val="61B71990"/>
    <w:rsid w:val="6C556615"/>
    <w:rsid w:val="75E66A6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table" w:styleId="4">
    <w:name w:val="Table Grid"/>
    <w:basedOn w:val="3"/>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page number"/>
    <w:basedOn w:val="5"/>
    <w:qFormat/>
    <w:uiPriority w:val="99"/>
    <w:rPr>
      <w:rFonts w:cs="Times New Roman"/>
    </w:rPr>
  </w:style>
  <w:style w:type="paragraph" w:customStyle="1" w:styleId="7">
    <w:name w:val="段"/>
    <w:qFormat/>
    <w:uiPriority w:val="99"/>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8">
    <w:name w:val="Footer Char"/>
    <w:basedOn w:val="5"/>
    <w:link w:val="2"/>
    <w:semiHidden/>
    <w:uiPriority w:val="99"/>
    <w:rPr>
      <w:rFonts w:ascii="Calibri" w:hAnsi="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aa\Application%20Data\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5</Pages>
  <Words>548</Words>
  <Characters>3125</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2019-01-08T01:32:00Z</dcterms:created>
  <dc:creator>aaa</dc:creator>
  <cp:lastModifiedBy>admin</cp:lastModifiedBy>
  <cp:lastPrinted>2019-10-15T01:45:17Z</cp:lastPrinted>
  <dcterms:modified xsi:type="dcterms:W3CDTF">2019-10-15T02:47:26Z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